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F78BC" w14:textId="54B4C47E" w:rsidR="00D54E88" w:rsidRPr="00FE42FD" w:rsidRDefault="00D54E88" w:rsidP="006007EC">
      <w:pPr>
        <w:pStyle w:val="a4"/>
        <w:jc w:val="center"/>
        <w:rPr>
          <w:sz w:val="42"/>
          <w:szCs w:val="42"/>
        </w:rPr>
      </w:pPr>
      <w:r w:rsidRPr="00FE42FD">
        <w:rPr>
          <w:sz w:val="42"/>
          <w:szCs w:val="42"/>
        </w:rPr>
        <w:t>Вопросы к экзамену</w:t>
      </w:r>
      <w:r w:rsidR="008A54F4" w:rsidRPr="00FE42FD">
        <w:rPr>
          <w:sz w:val="42"/>
          <w:szCs w:val="42"/>
        </w:rPr>
        <w:t xml:space="preserve"> по курсу «Квантовые вычисления»</w:t>
      </w:r>
    </w:p>
    <w:p w14:paraId="35E2E6C6" w14:textId="5CBBFAF7" w:rsidR="008A54F4" w:rsidRPr="008A54F4" w:rsidRDefault="008A54F4" w:rsidP="00FE42FD">
      <w:pPr>
        <w:pStyle w:val="a6"/>
        <w:jc w:val="center"/>
      </w:pPr>
      <w:r>
        <w:t>2015-2016 учебный год</w:t>
      </w:r>
    </w:p>
    <w:p w14:paraId="4247AA46" w14:textId="77777777" w:rsidR="00D54E88" w:rsidRPr="00D54E88" w:rsidRDefault="00D54E88" w:rsidP="00D54E88">
      <w:pPr>
        <w:pStyle w:val="a3"/>
        <w:jc w:val="both"/>
      </w:pPr>
      <w:bookmarkStart w:id="0" w:name="_GoBack"/>
      <w:bookmarkEnd w:id="0"/>
    </w:p>
    <w:p w14:paraId="62AD295D" w14:textId="77777777" w:rsidR="00B54100" w:rsidRDefault="00B54100" w:rsidP="00456475">
      <w:pPr>
        <w:pStyle w:val="a3"/>
        <w:numPr>
          <w:ilvl w:val="0"/>
          <w:numId w:val="1"/>
        </w:numPr>
        <w:spacing w:line="264" w:lineRule="auto"/>
        <w:ind w:left="714" w:hanging="357"/>
        <w:jc w:val="both"/>
      </w:pPr>
      <w:r>
        <w:t>Классические и квантовые состояния частицы и системы частиц. Пространство квантовых состояний как Гильбертово пространство. Скалярное произведение, модуль вектора состояния. Дираковский формализм.</w:t>
      </w:r>
    </w:p>
    <w:p w14:paraId="455504E4" w14:textId="4AF2165A" w:rsidR="00B54100" w:rsidRDefault="00B54100" w:rsidP="00456475">
      <w:pPr>
        <w:pStyle w:val="a3"/>
        <w:numPr>
          <w:ilvl w:val="0"/>
          <w:numId w:val="1"/>
        </w:numPr>
        <w:spacing w:line="264" w:lineRule="auto"/>
        <w:ind w:left="714" w:hanging="357"/>
        <w:jc w:val="both"/>
      </w:pPr>
      <w:r>
        <w:t xml:space="preserve">Измерение квантового состояния как случайная величина. Правило Борна. Частичные измерения. Матрица плотности. </w:t>
      </w:r>
      <w:r w:rsidR="0075044E">
        <w:t>Относительная матрица плотности и её вычисление. Чистые и смешанные состояния.</w:t>
      </w:r>
    </w:p>
    <w:p w14:paraId="605141AA" w14:textId="1E2C4C2D" w:rsidR="00176085" w:rsidRDefault="0075044E" w:rsidP="00456475">
      <w:pPr>
        <w:pStyle w:val="a3"/>
        <w:numPr>
          <w:ilvl w:val="0"/>
          <w:numId w:val="1"/>
        </w:numPr>
        <w:spacing w:line="264" w:lineRule="auto"/>
        <w:ind w:left="714" w:hanging="357"/>
        <w:jc w:val="both"/>
      </w:pPr>
      <w:r>
        <w:t>Уравнение Шредингера и его общее решение</w:t>
      </w:r>
      <w:r w:rsidR="00EF3AA5">
        <w:t>. Унитарная</w:t>
      </w:r>
      <w:r w:rsidR="000D732A">
        <w:t xml:space="preserve"> эволюция как комплексная экспонента и её выражение через собственные функции и собственные значения оператора энергии (гамильтониан)</w:t>
      </w:r>
      <w:r w:rsidR="00176085">
        <w:t>. Решение уравнения Шредингера для бесконечно глубокой потенциальной ямы и для одного кубита. Уравнение Шредингера и его общее решение для матрицы плотности</w:t>
      </w:r>
      <w:r w:rsidR="00962838">
        <w:t>.</w:t>
      </w:r>
    </w:p>
    <w:p w14:paraId="7C084571" w14:textId="71E39F02" w:rsidR="00962838" w:rsidRDefault="00962838" w:rsidP="00456475">
      <w:pPr>
        <w:pStyle w:val="a3"/>
        <w:numPr>
          <w:ilvl w:val="0"/>
          <w:numId w:val="1"/>
        </w:numPr>
        <w:spacing w:line="264" w:lineRule="auto"/>
        <w:ind w:left="714" w:hanging="357"/>
        <w:jc w:val="both"/>
      </w:pPr>
      <w:r>
        <w:t>Связь эрмитовых и унитарных операторов, их диагонализация. Физические величины как собственные значения эрмитовых операторов</w:t>
      </w:r>
      <w:r w:rsidR="00E2364D">
        <w:t>. Операторы</w:t>
      </w:r>
      <w:r w:rsidR="00CB3F04">
        <w:t>:</w:t>
      </w:r>
      <w:r w:rsidR="00E2364D">
        <w:t xml:space="preserve"> координаты, импульса, энергии, их собственные функции и собственные значения. Преобразование Фурье как оператор перехода от</w:t>
      </w:r>
      <w:r w:rsidR="001E24D8">
        <w:t xml:space="preserve"> координатного базиса в Гильбертово</w:t>
      </w:r>
      <w:r w:rsidR="00456475">
        <w:t>м</w:t>
      </w:r>
      <w:r w:rsidR="001E24D8">
        <w:t xml:space="preserve"> пространств</w:t>
      </w:r>
      <w:r w:rsidR="00456475">
        <w:t>е</w:t>
      </w:r>
      <w:r w:rsidR="001E24D8">
        <w:t xml:space="preserve"> состояний к импульсному базису. Коммутативность операторов как условие возможности</w:t>
      </w:r>
      <w:r w:rsidR="00A31690">
        <w:t xml:space="preserve"> одновременного измерения величин с абсолютной точностью. Соотношение неопределённости Бора-Гейзенберга</w:t>
      </w:r>
      <w:r w:rsidR="00AA2DE4">
        <w:t xml:space="preserve"> (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x,p</m:t>
            </m:r>
          </m:e>
        </m:d>
        <m:r>
          <w:rPr>
            <w:rFonts w:ascii="Cambria Math" w:hAnsi="Cambria Math"/>
            <w:lang w:val="en-US"/>
          </w:rPr>
          <m:t xml:space="preserve">= </m:t>
        </m:r>
      </m:oMath>
      <w:r w:rsidR="00AA2DE4">
        <w:rPr>
          <w:lang w:val="en-US"/>
        </w:rPr>
        <w:t>).</w:t>
      </w:r>
    </w:p>
    <w:p w14:paraId="3780E22C" w14:textId="74F61CD6" w:rsidR="00A31690" w:rsidRDefault="007C60A2" w:rsidP="00456475">
      <w:pPr>
        <w:pStyle w:val="a3"/>
        <w:numPr>
          <w:ilvl w:val="0"/>
          <w:numId w:val="1"/>
        </w:numPr>
        <w:spacing w:line="264" w:lineRule="auto"/>
        <w:ind w:left="714" w:hanging="357"/>
        <w:jc w:val="both"/>
      </w:pPr>
      <w:r>
        <w:t>Тензорное произведение пространств, состояний и операторов. Формула для тензорного произведени</w:t>
      </w:r>
      <w:r w:rsidR="00456475">
        <w:t>я</w:t>
      </w:r>
      <w:r>
        <w:t xml:space="preserve"> двух матриц. Запутанное и незапутанное состояние</w:t>
      </w:r>
      <w:r w:rsidR="00B47A32">
        <w:t>. Запутывающие и незапутывающие операторы</w:t>
      </w:r>
      <w:r w:rsidR="002566C5">
        <w:t>. Операторы</w:t>
      </w:r>
      <w:r w:rsidR="00B47A32">
        <w:t xml:space="preserve"> </w:t>
      </w:r>
      <w:r w:rsidR="00B47A32">
        <w:rPr>
          <w:lang w:val="en-US"/>
        </w:rPr>
        <w:t>NOT</w:t>
      </w:r>
      <w:r w:rsidR="00B47A32" w:rsidRPr="00456475">
        <w:t xml:space="preserve">, </w:t>
      </w:r>
      <w:r w:rsidR="00B47A32">
        <w:rPr>
          <w:lang w:val="en-US"/>
        </w:rPr>
        <w:t>CNOT</w:t>
      </w:r>
      <w:r w:rsidR="00B47A32" w:rsidRPr="00456475">
        <w:t xml:space="preserve">, </w:t>
      </w:r>
      <w:r w:rsidR="00B47A32">
        <w:rPr>
          <w:lang w:val="en-US"/>
        </w:rPr>
        <w:t>SWAP</w:t>
      </w:r>
      <w:r w:rsidR="00B47A32" w:rsidRPr="00456475">
        <w:t xml:space="preserve"> </w:t>
      </w:r>
      <w:r w:rsidR="003E5233">
        <w:t>и однокубитные. М</w:t>
      </w:r>
      <w:r w:rsidR="00B47A32">
        <w:t>атрицы Паули и их свойства (соб</w:t>
      </w:r>
      <w:r w:rsidR="00041083">
        <w:t>ственные</w:t>
      </w:r>
      <w:r w:rsidR="00B47A32">
        <w:t xml:space="preserve"> числа, знач</w:t>
      </w:r>
      <w:r w:rsidR="00041083">
        <w:t>ения</w:t>
      </w:r>
      <w:r w:rsidR="004E064F">
        <w:t xml:space="preserve"> и свойства</w:t>
      </w:r>
      <w:r w:rsidR="00B47A32">
        <w:t xml:space="preserve"> коммутации)</w:t>
      </w:r>
      <w:r w:rsidR="004E064F">
        <w:t>.</w:t>
      </w:r>
    </w:p>
    <w:p w14:paraId="089CB224" w14:textId="75B24D6C" w:rsidR="003E5233" w:rsidRDefault="003E5233" w:rsidP="00456475">
      <w:pPr>
        <w:pStyle w:val="a3"/>
        <w:numPr>
          <w:ilvl w:val="0"/>
          <w:numId w:val="1"/>
        </w:numPr>
        <w:spacing w:line="264" w:lineRule="auto"/>
        <w:ind w:left="714" w:hanging="357"/>
        <w:jc w:val="both"/>
      </w:pPr>
      <w:r>
        <w:t xml:space="preserve">Классические алгоритмы с оракулом. Вычисления и сложность вычислений с оракулом. </w:t>
      </w:r>
      <w:r>
        <w:rPr>
          <w:lang w:val="en-US"/>
        </w:rPr>
        <w:t>P</w:t>
      </w:r>
      <w:r w:rsidR="0063775C">
        <w:t>-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NP-</w:t>
      </w:r>
      <w:r>
        <w:t>задачи.</w:t>
      </w:r>
    </w:p>
    <w:p w14:paraId="611DC6F0" w14:textId="3B8B87E3" w:rsidR="003E5233" w:rsidRDefault="007B7BAC" w:rsidP="00456475">
      <w:pPr>
        <w:pStyle w:val="a3"/>
        <w:numPr>
          <w:ilvl w:val="0"/>
          <w:numId w:val="1"/>
        </w:numPr>
        <w:spacing w:line="264" w:lineRule="auto"/>
        <w:ind w:left="714" w:hanging="357"/>
        <w:jc w:val="both"/>
      </w:pPr>
      <w:r>
        <w:t xml:space="preserve">Общая схема квантового компьютера. </w:t>
      </w:r>
      <w:r w:rsidR="0063775C">
        <w:t xml:space="preserve">Квантовый алгоритм. </w:t>
      </w:r>
      <w:r>
        <w:t>Квантовый оракул. Квантовые вычисления с оракулом и его сложность</w:t>
      </w:r>
      <w:r w:rsidR="002566C5">
        <w:t xml:space="preserve">. Операторы отражения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2566C5" w:rsidRPr="00456475">
        <w:t xml:space="preserve">, </w:t>
      </w:r>
      <w:r w:rsidR="002566C5">
        <w:t>реализация</w:t>
      </w:r>
      <w:r w:rsidR="00456475" w:rsidRPr="00456475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acc>
              <m:accPr>
                <m:chr m:val="̃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0</m:t>
                </m:r>
              </m:e>
            </m:acc>
          </m:sub>
        </m:sSub>
      </m:oMath>
      <w:r w:rsidR="002566C5" w:rsidRPr="00456475">
        <w:t xml:space="preserve"> </w:t>
      </w:r>
      <w:r w:rsidR="002566C5">
        <w:t>и</w:t>
      </w:r>
      <w:r w:rsidR="00456475" w:rsidRPr="00456475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tar</m:t>
                </m:r>
              </m:sub>
            </m:sSub>
          </m:sub>
        </m:sSub>
      </m:oMath>
      <w:r w:rsidR="004D2327" w:rsidRPr="00456475">
        <w:t xml:space="preserve">. </w:t>
      </w:r>
      <w:r w:rsidR="004D2327">
        <w:t xml:space="preserve">Алгоритм Гровера решения задачи перебора. </w:t>
      </w:r>
      <w:r w:rsidR="007568A6">
        <w:t xml:space="preserve">Квантовый параллелизм. </w:t>
      </w:r>
      <w:r w:rsidR="004D2327">
        <w:t>Случаи: одного, нескольких и неизвестного числа решений.</w:t>
      </w:r>
    </w:p>
    <w:p w14:paraId="1DD0E8CE" w14:textId="19539F7A" w:rsidR="004D2327" w:rsidRDefault="001670B4" w:rsidP="00456475">
      <w:pPr>
        <w:pStyle w:val="a3"/>
        <w:numPr>
          <w:ilvl w:val="0"/>
          <w:numId w:val="1"/>
        </w:numPr>
        <w:spacing w:line="264" w:lineRule="auto"/>
        <w:ind w:left="714" w:hanging="357"/>
        <w:jc w:val="both"/>
      </w:pPr>
      <w:r>
        <w:t>Квантовое преобразование Фурье. Его унитарность и реализация в виде</w:t>
      </w:r>
      <w:r w:rsidR="00041083">
        <w:t xml:space="preserve"> схемы</w:t>
      </w:r>
      <w:r>
        <w:t xml:space="preserve"> квантовых гейтов. Применение преобразования Фурье: алгоритм Абрамса-Ллойда и Залки-Визнера</w:t>
      </w:r>
      <w:r w:rsidR="007568A6">
        <w:t>.</w:t>
      </w:r>
    </w:p>
    <w:p w14:paraId="1F58D513" w14:textId="0E1451B8" w:rsidR="007568A6" w:rsidRDefault="007568A6" w:rsidP="00456475">
      <w:pPr>
        <w:pStyle w:val="a3"/>
        <w:numPr>
          <w:ilvl w:val="0"/>
          <w:numId w:val="1"/>
        </w:numPr>
        <w:spacing w:line="264" w:lineRule="auto"/>
        <w:ind w:left="714" w:hanging="357"/>
        <w:jc w:val="both"/>
      </w:pPr>
      <w:r>
        <w:t>Решение задач по курсу «Квантовые вычисления»</w:t>
      </w:r>
      <w:r w:rsidR="00041083">
        <w:t>.</w:t>
      </w:r>
    </w:p>
    <w:sectPr w:rsidR="007568A6">
      <w:pgSz w:w="11906" w:h="16838"/>
      <w:pgMar w:top="1134" w:right="850" w:bottom="1134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B25"/>
    <w:multiLevelType w:val="hybridMultilevel"/>
    <w:tmpl w:val="53C0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00"/>
    <w:rsid w:val="00041083"/>
    <w:rsid w:val="000D732A"/>
    <w:rsid w:val="001670B4"/>
    <w:rsid w:val="00176085"/>
    <w:rsid w:val="001E24D8"/>
    <w:rsid w:val="002566C5"/>
    <w:rsid w:val="003C1DC2"/>
    <w:rsid w:val="003E5233"/>
    <w:rsid w:val="00456475"/>
    <w:rsid w:val="004D2327"/>
    <w:rsid w:val="004E064F"/>
    <w:rsid w:val="006007EC"/>
    <w:rsid w:val="0063775C"/>
    <w:rsid w:val="0071273F"/>
    <w:rsid w:val="0075044E"/>
    <w:rsid w:val="007568A6"/>
    <w:rsid w:val="00772399"/>
    <w:rsid w:val="007B7BAC"/>
    <w:rsid w:val="007C60A2"/>
    <w:rsid w:val="00850B30"/>
    <w:rsid w:val="008A54F4"/>
    <w:rsid w:val="00962838"/>
    <w:rsid w:val="00A31690"/>
    <w:rsid w:val="00AA2DE4"/>
    <w:rsid w:val="00B47A32"/>
    <w:rsid w:val="00B54100"/>
    <w:rsid w:val="00CB3F04"/>
    <w:rsid w:val="00D54E88"/>
    <w:rsid w:val="00E2364D"/>
    <w:rsid w:val="00EF3AA5"/>
    <w:rsid w:val="00FA7E2B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9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0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007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0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A54F4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A54F4"/>
    <w:rPr>
      <w:color w:val="5A5A5A" w:themeColor="text1" w:themeTint="A5"/>
      <w:spacing w:val="15"/>
      <w:sz w:val="22"/>
      <w:szCs w:val="22"/>
    </w:rPr>
  </w:style>
  <w:style w:type="character" w:styleId="a8">
    <w:name w:val="Placeholder Text"/>
    <w:basedOn w:val="a0"/>
    <w:uiPriority w:val="99"/>
    <w:semiHidden/>
    <w:rsid w:val="004564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564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0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007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0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A54F4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A54F4"/>
    <w:rPr>
      <w:color w:val="5A5A5A" w:themeColor="text1" w:themeTint="A5"/>
      <w:spacing w:val="15"/>
      <w:sz w:val="22"/>
      <w:szCs w:val="22"/>
    </w:rPr>
  </w:style>
  <w:style w:type="character" w:styleId="a8">
    <w:name w:val="Placeholder Text"/>
    <w:basedOn w:val="a0"/>
    <w:uiPriority w:val="99"/>
    <w:semiHidden/>
    <w:rsid w:val="004564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564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Синельников</dc:creator>
  <cp:lastModifiedBy>Синельников И.В.</cp:lastModifiedBy>
  <cp:revision>7</cp:revision>
  <cp:lastPrinted>2015-12-08T22:52:00Z</cp:lastPrinted>
  <dcterms:created xsi:type="dcterms:W3CDTF">2015-12-08T09:04:00Z</dcterms:created>
  <dcterms:modified xsi:type="dcterms:W3CDTF">2015-12-08T22:53:00Z</dcterms:modified>
</cp:coreProperties>
</file>